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DE" w:rsidRPr="00A27111" w:rsidRDefault="00A27111" w:rsidP="00A2711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>
        <w:rPr>
          <w:rFonts w:asciiTheme="majorHAnsi" w:hAnsiTheme="majorHAnsi"/>
          <w:b/>
          <w:sz w:val="36"/>
          <w:szCs w:val="36"/>
          <w:u w:val="single"/>
        </w:rPr>
        <w:t>2018 Tax Year Updates</w:t>
      </w:r>
    </w:p>
    <w:p w:rsidR="00BA0FDF" w:rsidRPr="00A27111" w:rsidRDefault="00BA0FDF" w:rsidP="00BA0FDF">
      <w:pPr>
        <w:pStyle w:val="ListParagraph"/>
        <w:numPr>
          <w:ilvl w:val="0"/>
          <w:numId w:val="1"/>
        </w:numPr>
        <w:rPr>
          <w:rFonts w:asciiTheme="majorHAnsi" w:hAnsiTheme="majorHAnsi"/>
          <w:b/>
          <w:u w:val="single"/>
        </w:rPr>
      </w:pPr>
      <w:r w:rsidRPr="00A27111">
        <w:rPr>
          <w:rFonts w:asciiTheme="majorHAnsi" w:hAnsiTheme="majorHAnsi"/>
          <w:b/>
          <w:u w:val="single"/>
        </w:rPr>
        <w:t>Tax Tables</w:t>
      </w:r>
    </w:p>
    <w:p w:rsidR="00BA0FDF" w:rsidRDefault="00BA0FDF" w:rsidP="00BA0FDF">
      <w:pPr>
        <w:rPr>
          <w:b/>
          <w:u w:val="single"/>
        </w:rPr>
      </w:pPr>
      <w:r w:rsidRPr="00BA0FDF">
        <w:rPr>
          <w:b/>
          <w:noProof/>
          <w:u w:val="single"/>
        </w:rPr>
        <w:drawing>
          <wp:inline distT="0" distB="0" distL="0" distR="0" wp14:anchorId="08EA0112" wp14:editId="388C55C9">
            <wp:extent cx="5943600" cy="3990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FDF" w:rsidRPr="00BA0FDF" w:rsidRDefault="00BA0FDF" w:rsidP="00BA0FDF">
      <w:pPr>
        <w:rPr>
          <w:b/>
          <w:u w:val="single"/>
        </w:rPr>
      </w:pPr>
      <w:r w:rsidRPr="00BA0FDF">
        <w:rPr>
          <w:b/>
          <w:noProof/>
          <w:u w:val="single"/>
        </w:rPr>
        <w:lastRenderedPageBreak/>
        <w:drawing>
          <wp:inline distT="0" distB="0" distL="0" distR="0" wp14:anchorId="1C32B5EE" wp14:editId="4C62BC6C">
            <wp:extent cx="5943600" cy="4159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FDF" w:rsidRPr="00A27111" w:rsidRDefault="00BA0FDF" w:rsidP="00A27111">
      <w:pPr>
        <w:jc w:val="center"/>
        <w:rPr>
          <w:rFonts w:asciiTheme="majorHAnsi" w:hAnsiTheme="majorHAnsi"/>
          <w:b/>
          <w:u w:val="single"/>
        </w:rPr>
      </w:pPr>
      <w:r w:rsidRPr="00A27111">
        <w:rPr>
          <w:rFonts w:asciiTheme="majorHAnsi" w:hAnsiTheme="majorHAnsi"/>
          <w:b/>
          <w:u w:val="single"/>
        </w:rPr>
        <w:t>Standard Deduction:</w:t>
      </w:r>
    </w:p>
    <w:p w:rsidR="00BA0FDF" w:rsidRPr="00A27111" w:rsidRDefault="00BA0FDF">
      <w:pPr>
        <w:rPr>
          <w:rFonts w:asciiTheme="majorHAnsi" w:hAnsiTheme="majorHAnsi"/>
        </w:rPr>
      </w:pPr>
      <w:r w:rsidRPr="00A27111">
        <w:rPr>
          <w:rFonts w:asciiTheme="majorHAnsi" w:hAnsiTheme="majorHAnsi"/>
        </w:rPr>
        <w:t>2017 Deduction</w:t>
      </w:r>
      <w:r w:rsidRP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>2018 Deduction</w:t>
      </w:r>
    </w:p>
    <w:p w:rsidR="00BA0FDF" w:rsidRPr="00A27111" w:rsidRDefault="00BA0FDF">
      <w:pPr>
        <w:rPr>
          <w:rFonts w:asciiTheme="majorHAnsi" w:hAnsiTheme="majorHAnsi"/>
        </w:rPr>
      </w:pPr>
      <w:r w:rsidRPr="00A27111">
        <w:rPr>
          <w:rFonts w:asciiTheme="majorHAnsi" w:hAnsiTheme="majorHAnsi"/>
        </w:rPr>
        <w:t>Single -6,350</w:t>
      </w:r>
      <w:r w:rsidRP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>Single – 12,000</w:t>
      </w:r>
    </w:p>
    <w:p w:rsidR="00BA0FDF" w:rsidRPr="00A27111" w:rsidRDefault="00BA0FDF">
      <w:pPr>
        <w:rPr>
          <w:rFonts w:asciiTheme="majorHAnsi" w:hAnsiTheme="majorHAnsi"/>
        </w:rPr>
      </w:pPr>
      <w:r w:rsidRPr="00A27111">
        <w:rPr>
          <w:rFonts w:asciiTheme="majorHAnsi" w:hAnsiTheme="majorHAnsi"/>
        </w:rPr>
        <w:t>Married (Jointly) – 12,700</w:t>
      </w:r>
      <w:r w:rsidRP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="00A27111">
        <w:rPr>
          <w:rFonts w:asciiTheme="majorHAnsi" w:hAnsiTheme="majorHAnsi"/>
        </w:rPr>
        <w:tab/>
      </w:r>
      <w:r w:rsidRPr="00A27111">
        <w:rPr>
          <w:rFonts w:asciiTheme="majorHAnsi" w:hAnsiTheme="majorHAnsi"/>
        </w:rPr>
        <w:t>Married (Jointly) – 24,000</w:t>
      </w:r>
    </w:p>
    <w:p w:rsidR="00BA0FDF" w:rsidRPr="00A27111" w:rsidRDefault="00BA0FDF" w:rsidP="00A27111">
      <w:pPr>
        <w:jc w:val="center"/>
        <w:rPr>
          <w:rFonts w:asciiTheme="majorHAnsi" w:hAnsiTheme="majorHAnsi"/>
          <w:b/>
          <w:u w:val="single"/>
        </w:rPr>
      </w:pPr>
      <w:r w:rsidRPr="00A27111">
        <w:rPr>
          <w:rFonts w:asciiTheme="majorHAnsi" w:hAnsiTheme="majorHAnsi"/>
          <w:b/>
          <w:u w:val="single"/>
        </w:rPr>
        <w:t>Child Tax Credit:</w:t>
      </w:r>
    </w:p>
    <w:p w:rsidR="00BA0FDF" w:rsidRPr="00A27111" w:rsidRDefault="00BA0FDF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Threshold raised from 110,00 to 400,000</w:t>
      </w:r>
    </w:p>
    <w:p w:rsidR="00BA0FDF" w:rsidRPr="00A27111" w:rsidRDefault="00BA0FDF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Child Tax credit raised from 1,000 to 2,000 per eligible child</w:t>
      </w:r>
      <w:bookmarkStart w:id="0" w:name="_GoBack"/>
      <w:bookmarkEnd w:id="0"/>
    </w:p>
    <w:p w:rsidR="00BA0FDF" w:rsidRPr="00A27111" w:rsidRDefault="00BA0FDF" w:rsidP="00A27111">
      <w:pPr>
        <w:jc w:val="center"/>
        <w:rPr>
          <w:rFonts w:asciiTheme="majorHAnsi" w:hAnsiTheme="majorHAnsi"/>
          <w:b/>
          <w:u w:val="single"/>
        </w:rPr>
      </w:pPr>
      <w:r w:rsidRPr="00A27111">
        <w:rPr>
          <w:rFonts w:asciiTheme="majorHAnsi" w:hAnsiTheme="majorHAnsi"/>
          <w:b/>
          <w:u w:val="single"/>
        </w:rPr>
        <w:t>Deductions Update:</w:t>
      </w:r>
    </w:p>
    <w:p w:rsidR="00BA0FDF" w:rsidRPr="00A27111" w:rsidRDefault="00BA0FDF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Personal exemptions are eliminated (loss of 4,050 per person)</w:t>
      </w:r>
    </w:p>
    <w:p w:rsidR="00BA0FDF" w:rsidRPr="00A27111" w:rsidRDefault="00BA0FDF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State, local property, income &amp; sales tax cap at 10,000</w:t>
      </w:r>
    </w:p>
    <w:p w:rsidR="00BA0FDF" w:rsidRPr="00A27111" w:rsidRDefault="00052627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 xml:space="preserve">Mortgage </w:t>
      </w:r>
      <w:r w:rsidR="001C3471" w:rsidRPr="00A27111">
        <w:rPr>
          <w:rFonts w:asciiTheme="majorHAnsi" w:hAnsiTheme="majorHAnsi"/>
        </w:rPr>
        <w:t>Interest deduction cap</w:t>
      </w:r>
      <w:r w:rsidRPr="00A27111">
        <w:rPr>
          <w:rFonts w:asciiTheme="majorHAnsi" w:hAnsiTheme="majorHAnsi"/>
        </w:rPr>
        <w:t>ped</w:t>
      </w:r>
      <w:r w:rsidR="001C3471" w:rsidRPr="00A27111">
        <w:rPr>
          <w:rFonts w:asciiTheme="majorHAnsi" w:hAnsiTheme="majorHAnsi"/>
        </w:rPr>
        <w:t xml:space="preserve"> at 750,000 </w:t>
      </w:r>
      <w:r w:rsidRPr="00A27111">
        <w:rPr>
          <w:rFonts w:asciiTheme="majorHAnsi" w:hAnsiTheme="majorHAnsi"/>
        </w:rPr>
        <w:t>for new home owners (Prior home purchases are grandfathered in)</w:t>
      </w:r>
    </w:p>
    <w:p w:rsidR="001C3471" w:rsidRPr="00A27111" w:rsidRDefault="001C3471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Eliminates non-insured tax penalty</w:t>
      </w:r>
    </w:p>
    <w:p w:rsidR="001C3471" w:rsidRPr="00A27111" w:rsidRDefault="001C3471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Lowers the threshold out-of-pocket medical expenses deduction to 7.5%; you can deduct medical expenses in excessive of 7.5% of your AGI instead of 2017’s 10% requirement.</w:t>
      </w:r>
    </w:p>
    <w:p w:rsidR="00052627" w:rsidRPr="00A27111" w:rsidRDefault="00052627" w:rsidP="00A27111">
      <w:pPr>
        <w:jc w:val="center"/>
        <w:rPr>
          <w:rFonts w:asciiTheme="majorHAnsi" w:hAnsiTheme="majorHAnsi"/>
          <w:b/>
          <w:u w:val="single"/>
        </w:rPr>
      </w:pPr>
      <w:r w:rsidRPr="00A27111">
        <w:rPr>
          <w:rFonts w:asciiTheme="majorHAnsi" w:hAnsiTheme="majorHAnsi"/>
          <w:b/>
          <w:u w:val="single"/>
        </w:rPr>
        <w:lastRenderedPageBreak/>
        <w:t>Small Business Owners Updates:</w:t>
      </w:r>
    </w:p>
    <w:p w:rsidR="001C3471" w:rsidRPr="00A27111" w:rsidRDefault="00052627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20% deduction for qualified business income (small business owner deductions) Income Threshold (Single – 157,500/Married Jointly – 315,000)</w:t>
      </w:r>
    </w:p>
    <w:p w:rsidR="001C3471" w:rsidRPr="00A27111" w:rsidRDefault="001C3471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Eliminates corp. AMT</w:t>
      </w:r>
    </w:p>
    <w:p w:rsidR="001C3471" w:rsidRPr="00A27111" w:rsidRDefault="00052627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Estate Tax Exclusion amount increased to 11.9M for individuals and 22.36 for married couple</w:t>
      </w:r>
    </w:p>
    <w:p w:rsidR="00052627" w:rsidRPr="00A27111" w:rsidRDefault="00052627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Gift Tax Exclusion amount increased to 15,000</w:t>
      </w:r>
    </w:p>
    <w:p w:rsidR="00052627" w:rsidRPr="00A27111" w:rsidRDefault="00052627" w:rsidP="00BA0FD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A27111">
        <w:rPr>
          <w:rFonts w:asciiTheme="majorHAnsi" w:hAnsiTheme="majorHAnsi"/>
        </w:rPr>
        <w:t>Bonus Depreciation deduction increased to 100% for assets</w:t>
      </w:r>
    </w:p>
    <w:p w:rsidR="00BA0FDF" w:rsidRPr="00BA0FDF" w:rsidRDefault="00BA0FDF">
      <w:pPr>
        <w:rPr>
          <w:b/>
          <w:u w:val="single"/>
        </w:rPr>
      </w:pPr>
    </w:p>
    <w:sectPr w:rsidR="00BA0FDF" w:rsidRPr="00BA0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869"/>
    <w:multiLevelType w:val="hybridMultilevel"/>
    <w:tmpl w:val="4796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DF"/>
    <w:rsid w:val="00052627"/>
    <w:rsid w:val="001C3471"/>
    <w:rsid w:val="00A27111"/>
    <w:rsid w:val="00BA0FDF"/>
    <w:rsid w:val="00D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Luxottica Retail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 Samara</dc:creator>
  <cp:lastModifiedBy>Andrews Samara</cp:lastModifiedBy>
  <cp:revision>2</cp:revision>
  <dcterms:created xsi:type="dcterms:W3CDTF">2019-03-03T22:43:00Z</dcterms:created>
  <dcterms:modified xsi:type="dcterms:W3CDTF">2019-03-03T22:43:00Z</dcterms:modified>
</cp:coreProperties>
</file>